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ВІДПОВІДАЛЬНІСТЬ НЕПОВНОЛІТНІХ 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1. ЦИВІЛЬНА ВІДПОВІДАЛЬНІСТЬ НЕПОВНОЛІТНІХ</w:t>
      </w:r>
    </w:p>
    <w:p w:rsidR="00C35054" w:rsidRDefault="00FE1639" w:rsidP="00C350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054">
        <w:rPr>
          <w:rFonts w:ascii="Times New Roman" w:hAnsi="Times New Roman" w:cs="Times New Roman"/>
          <w:sz w:val="28"/>
          <w:szCs w:val="28"/>
          <w:lang w:val="uk-UA"/>
        </w:rPr>
        <w:t>Згідно ст. 1178 ЦК України за заподіяну шкоду особами, що не досягли 14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054">
        <w:rPr>
          <w:rFonts w:ascii="Times New Roman" w:hAnsi="Times New Roman" w:cs="Times New Roman"/>
          <w:sz w:val="28"/>
          <w:szCs w:val="28"/>
          <w:lang w:val="uk-UA"/>
        </w:rPr>
        <w:t xml:space="preserve">несуть відповідальність їхні батьки (усиновлювачі), опікуни, навчальні, виховніта інші установи, якщо вони не доведуть, що шкоду було завдано не з їх вини. </w:t>
      </w:r>
      <w:r w:rsidRPr="00FE163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 xml:space="preserve">мати, і батько відповідають за малолітніх за принципом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івної дольовоївідповідальності. Вони несуть відповідальність за неналежне виконання своїх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батьківських прав та обов’язків, які закріплені в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імейному кодексі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опікуни, усиновлювачі несуть аналогічну відповідальність. У разі встановлення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опіки за життя батьків, не позбавлених батьківських прав, відповідальність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 xml:space="preserve">завдану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ідопічним шкоду можуть нести солідарно як батьки малолітнього, так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його опікун.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  <w:lang w:val="uk-UA"/>
        </w:rPr>
        <w:t>При відшкодуванні шкоди, завданої малолітнім, не виключається можливість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  <w:lang w:val="uk-UA"/>
        </w:rPr>
        <w:t>укладення письмового договору між особою, зобов’язаною відшкодувати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  <w:lang w:val="uk-UA"/>
        </w:rPr>
        <w:t>завдану шкоду і потерпілим, чи проста домовленість між ними, що звільняє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  <w:lang w:val="uk-UA"/>
        </w:rPr>
        <w:t>необхідності звернення до суду.</w:t>
      </w:r>
    </w:p>
    <w:p w:rsidR="00FE1639" w:rsidRPr="00FE1639" w:rsidRDefault="00FE1639" w:rsidP="00C350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Заклади, які зобов’язані здійснювати нагляд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малолітніми – це навчальні заклади, заклади охорони здоров’я, приватні школи,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іальні навчальні заклади.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несуть відповідальність, якщо не доведуть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відсутність своєї вини. На заклад, де діти знаходяться невизначений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обов’язок відшкодування шкоди не покладається.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Установа, яка відшкодувала шкоду, має право пред’явити зворотну вимогу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особи, винної у її завданні, яка порушила вимоги педагогічного характеру,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 xml:space="preserve">наслідком чого стала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неправом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ірна поведінка дитини.</w:t>
      </w:r>
    </w:p>
    <w:p w:rsidR="00FE1639" w:rsidRPr="00C35054" w:rsidRDefault="00FE1639" w:rsidP="00FE16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639">
        <w:rPr>
          <w:rFonts w:ascii="Times New Roman" w:hAnsi="Times New Roman" w:cs="Times New Roman"/>
          <w:sz w:val="28"/>
          <w:szCs w:val="28"/>
        </w:rPr>
        <w:t xml:space="preserve">Відповідальність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іх вище перелічених осіб – це відповідальність за власну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 xml:space="preserve">вину. У зв’язку з цим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позбавлені права регресної вимоги до малолітнього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при досягненні ним повної дієздатності – тобто повноліття (18 років).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  <w:lang w:val="uk-UA"/>
        </w:rPr>
        <w:t>Щодо цивільної відповідальності осіб віком 14-18 років, то неповнолітній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  <w:lang w:val="uk-UA"/>
        </w:rPr>
        <w:t>самостійно відповідає за невиконання договору, укладеного ним самостійно,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  <w:lang w:val="uk-UA"/>
        </w:rPr>
        <w:t>також за згодою батьків.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  <w:lang w:val="uk-UA"/>
        </w:rPr>
        <w:t>Однак, якщо в неповнолітнього немає майна, достатнього для відшкодування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  <w:lang w:val="uk-UA"/>
        </w:rPr>
        <w:t>збитків, додаткову відповідальність несуть його батьки.</w:t>
      </w:r>
    </w:p>
    <w:p w:rsidR="00FE1639" w:rsidRPr="00FE1639" w:rsidRDefault="00FE1639" w:rsidP="00C35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 xml:space="preserve">У випадку заподіяння шкоди неповнолітнім у віці від 14 до 18 років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відповідає на загальних підставах. Якщо в нього немає майна чи заробітку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достатнього для відшкодування шкоди, шкода відшкодовується цілком чи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частині, якої не вистача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його батьками.</w:t>
      </w:r>
    </w:p>
    <w:p w:rsidR="00FE1639" w:rsidRPr="00FE1639" w:rsidRDefault="00FE1639" w:rsidP="00C35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639">
        <w:rPr>
          <w:rFonts w:ascii="Times New Roman" w:hAnsi="Times New Roman" w:cs="Times New Roman"/>
          <w:sz w:val="28"/>
          <w:szCs w:val="28"/>
        </w:rPr>
        <w:lastRenderedPageBreak/>
        <w:t>У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разі відшкодування зазначеної шкоди, батькам надається право довести, що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шкоду було завдано не з їх вини.</w:t>
      </w:r>
    </w:p>
    <w:p w:rsidR="00FE1639" w:rsidRPr="00FE1639" w:rsidRDefault="00FE1639" w:rsidP="00C35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 xml:space="preserve">Обов’язок батьків чи закладу, який за законом здійснює функції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іклувальника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відшкодувати шкоду припиняється: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ісля досягнення особою, яка завдала шкоди, повноліття;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 xml:space="preserve">2) коли вона до досягнення повноліття стане власником майна, достатнього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відшкодування шкоди.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Батьки зобов’язані відшкодувати шкоду, завдану дитиною, щодо якої вони були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 xml:space="preserve">позбавлені батьківських прав, протягом 3-х років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ісля позбавлення їхбатьківських прав, якщо вони не доведуть, що ця шкода не є наслідком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невиконання ними своїх батьківських обов’язків.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 </w:t>
      </w:r>
      <w:r w:rsidRPr="00FE1639">
        <w:rPr>
          <w:rFonts w:ascii="Times New Roman" w:hAnsi="Times New Roman" w:cs="Times New Roman"/>
          <w:b/>
          <w:sz w:val="28"/>
          <w:szCs w:val="28"/>
        </w:rPr>
        <w:t>АДМІНІСТРАТИВНА ВІДПОВІДАЛЬНІСТЬ НЕПОВНОЛІТНІХ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Адміністративним правопорушенням визнається протиправна винна дія чи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бездіяльність, яка посягає на державний або громадський порядок, власність,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 xml:space="preserve">права і свободи громадян, на встановлений порядок управління і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яку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законодавством передбачено адміністративну відповідальність.</w:t>
      </w:r>
    </w:p>
    <w:p w:rsidR="00FE1639" w:rsidRPr="00FE1639" w:rsidRDefault="00FE1639" w:rsidP="00C35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 xml:space="preserve">Адміністративній відповідальності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ідлягають особи, які досягли на момент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вчинення адміністративного порушення 16-річного віку.</w:t>
      </w:r>
    </w:p>
    <w:p w:rsidR="00FE1639" w:rsidRPr="00FE1639" w:rsidRDefault="00FE1639" w:rsidP="00C35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До осіб віком 16-18 рокі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, які вчинили адміністративне правопорушення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застосовуються заходи впливу: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1)  зобов’язання публічно попросити вибачення у потерпілого;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2)  попередження;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3)  догана або сувора догана;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 xml:space="preserve">4)  передача неповнолітнього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ід нагляд батькам чи педагогічного, трудового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колективу за їх згодою, а також окремим громадянам на їх прохання.</w:t>
      </w:r>
    </w:p>
    <w:p w:rsidR="00FE1639" w:rsidRPr="00FE1639" w:rsidRDefault="00FE1639" w:rsidP="00C35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У разі вчинення особами віком 16-18 років правопорушень, передбачених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 xml:space="preserve">наступними статтями Кодексу України про адміністративні правопорушення (утексті – КУпАП), вони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ідлягають адміністративній відповідальності на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загальних підставах: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639">
        <w:rPr>
          <w:rFonts w:ascii="Times New Roman" w:hAnsi="Times New Roman" w:cs="Times New Roman"/>
          <w:sz w:val="28"/>
          <w:szCs w:val="28"/>
        </w:rPr>
        <w:lastRenderedPageBreak/>
        <w:t>-      ст. 44 (незаконне вироблення, придбання, зберігання, перевезення</w:t>
      </w:r>
      <w:proofErr w:type="gramEnd"/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 xml:space="preserve">наркотичних засобів або психотропних речовин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без мети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збути в невеликих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639">
        <w:rPr>
          <w:rFonts w:ascii="Times New Roman" w:hAnsi="Times New Roman" w:cs="Times New Roman"/>
          <w:sz w:val="28"/>
          <w:szCs w:val="28"/>
        </w:rPr>
        <w:t>розмірах);</w:t>
      </w:r>
      <w:proofErr w:type="gramEnd"/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-      ст. 51 (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ібне розкрадання державного або колективного майна);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639">
        <w:rPr>
          <w:rFonts w:ascii="Times New Roman" w:hAnsi="Times New Roman" w:cs="Times New Roman"/>
          <w:sz w:val="28"/>
          <w:szCs w:val="28"/>
        </w:rPr>
        <w:t>-      ст., ст. 121-127 (порушення водіями правил експлуатації транспортних</w:t>
      </w:r>
      <w:proofErr w:type="gramEnd"/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засобів);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 xml:space="preserve">-     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. 1, 2 статті 130 (керування транспортними засобами в стані сп’яніння);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-      ст. 173 (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ібне хуліганство);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-     ст.  174 (поширювання неправдивих чуток);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 xml:space="preserve">-      ст. 185 (злісна непокора розпорядженню або вимозі працівника міліції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чи їх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образа);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639">
        <w:rPr>
          <w:rFonts w:ascii="Times New Roman" w:hAnsi="Times New Roman" w:cs="Times New Roman"/>
          <w:sz w:val="28"/>
          <w:szCs w:val="28"/>
        </w:rPr>
        <w:t>-      ст. 190-195 (порушення громадянами порядку придбання, зберігання,</w:t>
      </w:r>
      <w:proofErr w:type="gramEnd"/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передача іншим особам або продаж вогн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пальної, холодної або пневматичної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639">
        <w:rPr>
          <w:rFonts w:ascii="Times New Roman" w:hAnsi="Times New Roman" w:cs="Times New Roman"/>
          <w:sz w:val="28"/>
          <w:szCs w:val="28"/>
        </w:rPr>
        <w:t>зброї);</w:t>
      </w:r>
      <w:proofErr w:type="gramEnd"/>
    </w:p>
    <w:p w:rsidR="00FE1639" w:rsidRPr="00FE1639" w:rsidRDefault="00FE1639" w:rsidP="00C35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63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урахуванням характеру вчиненого правопорушення та особи правопорушника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до зазначених осіб (за винятком ст. 185 КУпАП) можуть бути застосовані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заходи впливу, передбачені ст. 24-1 КУпАП: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1. попередження;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2. штраф;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3. сплатне вилучення предмета, який став знаряддям вчинення правопорушення;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4. конфіскація предмета, який став знаряддям вчинення правопорушення;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 xml:space="preserve">5. позбавлення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іального права (до 3 років);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6. виправні роботи (до 2-х місяців, 20 % від зарплати);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7. адміністративний арешт (до 15 діб).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054" w:rsidRDefault="00C35054" w:rsidP="00FE16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1639" w:rsidRPr="00FE1639" w:rsidRDefault="00FE1639" w:rsidP="00FE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39">
        <w:rPr>
          <w:rFonts w:ascii="Times New Roman" w:hAnsi="Times New Roman" w:cs="Times New Roman"/>
          <w:b/>
          <w:sz w:val="28"/>
          <w:szCs w:val="28"/>
        </w:rPr>
        <w:lastRenderedPageBreak/>
        <w:t>КРИМІНАЛЬНА ВІДПОВІДАЛЬНІСТЬ НЕПОВНОЛІТНІХ</w:t>
      </w:r>
    </w:p>
    <w:p w:rsidR="00FE1639" w:rsidRPr="00FE1639" w:rsidRDefault="00FE1639" w:rsidP="00FE1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 xml:space="preserve">Злочинність неповнолітніх постійно привертає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себе увагу.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На сьогодні це зумовлено тим, що неповнолітні завжди визнавалися злочинцями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особливого роду і становлять одну з найбільш кримінально уражених верств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населення.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63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іальна занедбаність неповнолітніх за умов плюралізму поглядів, відсутності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чітких моральних орієнтирів сприяє виникненню та поширенню негативних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явищ в середовищі неповнолітніх.</w:t>
      </w:r>
    </w:p>
    <w:p w:rsidR="00FE1639" w:rsidRPr="00FE1639" w:rsidRDefault="00FE1639" w:rsidP="00FE1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За сучасних умов розвитку суспільства визнається, що для неповнолітніх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злочинців недостатнім є застосування лише медико-педагогічних заходів.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певних випадках держава змушена притягувати їх до кримінальної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відповідальності.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Чинне законодавство передбача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що кримінальній відповідальності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покаранню підлягають особи, яким до скоєння злочину виповнилось 16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(ст. 22 КК України). Лише за деякі злочини, спеціально вказані в законі,кримінальна відповідальність може настати з 14 рокі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.</w:t>
      </w:r>
    </w:p>
    <w:p w:rsidR="00FE1639" w:rsidRPr="00FE1639" w:rsidRDefault="00FE1639" w:rsidP="00FE1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Згідно ч. 2 ст. 22 КК України особи, що вчинили злочини у віці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FE1639">
        <w:rPr>
          <w:rFonts w:ascii="Times New Roman" w:hAnsi="Times New Roman" w:cs="Times New Roman"/>
          <w:sz w:val="28"/>
          <w:szCs w:val="28"/>
        </w:rPr>
        <w:t xml:space="preserve">отирнадцяти до шістнадцяти років,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ідлягають кримінальній відповідальності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лише за: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-      умисне вбивство (статті 115-117 КК України);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639">
        <w:rPr>
          <w:rFonts w:ascii="Times New Roman" w:hAnsi="Times New Roman" w:cs="Times New Roman"/>
          <w:sz w:val="28"/>
          <w:szCs w:val="28"/>
        </w:rPr>
        <w:t>-      посягання на життя державного чи громадського діяча, працівника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правоохоронного органу, члена громадського формування з охорони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громадського порядку і державного кордону або військовослужбовця, судді,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народного засідателя чи присяжного у зв’язку з їх діяльністю, пов’язаною із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здійсненням правосуддя, захисника чи представника особи у зв’язку з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діяльністю, пов’язаною з наданням правово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ї допомоги представника іноземної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держави (статті 112, 348, 379, 400, 443 КК України);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639">
        <w:rPr>
          <w:rFonts w:ascii="Times New Roman" w:hAnsi="Times New Roman" w:cs="Times New Roman"/>
          <w:sz w:val="28"/>
          <w:szCs w:val="28"/>
        </w:rPr>
        <w:t>-      умисне тяжке тілесне ушкодження (стаття 121, частина третя статей 345,</w:t>
      </w:r>
      <w:proofErr w:type="gramEnd"/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639">
        <w:rPr>
          <w:rFonts w:ascii="Times New Roman" w:hAnsi="Times New Roman" w:cs="Times New Roman"/>
          <w:sz w:val="28"/>
          <w:szCs w:val="28"/>
        </w:rPr>
        <w:t>346, 350, 377, 398 КК України);</w:t>
      </w:r>
      <w:proofErr w:type="gramEnd"/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639">
        <w:rPr>
          <w:rFonts w:ascii="Times New Roman" w:hAnsi="Times New Roman" w:cs="Times New Roman"/>
          <w:sz w:val="28"/>
          <w:szCs w:val="28"/>
        </w:rPr>
        <w:t>-      умисне середньої тяжкості тілесне ушкодження (стаття 122, частина друга</w:t>
      </w:r>
      <w:proofErr w:type="gramEnd"/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статей 345, 346, 350, 377, 398 КК України);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lastRenderedPageBreak/>
        <w:t>-      диверсію (стаття 113 КК України);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-      бандитизм (стаття 257 КК України);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-      терористичний акт (стаття 258 КК України);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-      захоплення заручників (статті 147 і 349 КК України);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-      зґвалтування (стаття 152 КК України);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-      насильницьке задоволення статевої пристрасті неприродним способом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(стаття 153);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-      крадіжку (стаття 185, частина перша статей 262, 308 КК України);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 xml:space="preserve">-     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грабіж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(статті 186, 262, 308 КК України);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-      розбій (стаття 187, частина третя статей 262, 308 КК України);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-      вимагання (статті 189, 262, 308 КК України);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639">
        <w:rPr>
          <w:rFonts w:ascii="Times New Roman" w:hAnsi="Times New Roman" w:cs="Times New Roman"/>
          <w:sz w:val="28"/>
          <w:szCs w:val="28"/>
        </w:rPr>
        <w:t>-      умисне знищення або пошкодження майна (частина друга статей 194, 347,</w:t>
      </w:r>
      <w:proofErr w:type="gramEnd"/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639">
        <w:rPr>
          <w:rFonts w:ascii="Times New Roman" w:hAnsi="Times New Roman" w:cs="Times New Roman"/>
          <w:sz w:val="28"/>
          <w:szCs w:val="28"/>
        </w:rPr>
        <w:t>352, 378, частини друга та третя статті 399 КК України);</w:t>
      </w:r>
      <w:proofErr w:type="gramEnd"/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639">
        <w:rPr>
          <w:rFonts w:ascii="Times New Roman" w:hAnsi="Times New Roman" w:cs="Times New Roman"/>
          <w:sz w:val="28"/>
          <w:szCs w:val="28"/>
        </w:rPr>
        <w:t>-      пошкодження шляхів сполучення і транспортних засобів (стаття 277 КК</w:t>
      </w:r>
      <w:proofErr w:type="gramEnd"/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639">
        <w:rPr>
          <w:rFonts w:ascii="Times New Roman" w:hAnsi="Times New Roman" w:cs="Times New Roman"/>
          <w:sz w:val="28"/>
          <w:szCs w:val="28"/>
        </w:rPr>
        <w:t>України);</w:t>
      </w:r>
      <w:proofErr w:type="gramEnd"/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-      угон або захоплення залізничного рухомого складу, повітряного, морського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 xml:space="preserve">чи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ічкового судна (стаття 278 КК України);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-      незаконне заволодіння транспортним засобом (частини друга, третя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278 КК України);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-      хуліганство (стаття 296 КК України).</w:t>
      </w:r>
    </w:p>
    <w:p w:rsidR="00FE1639" w:rsidRPr="00FE1639" w:rsidRDefault="00FE1639" w:rsidP="00C35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Разом з тим, вже з 16, а не з 14 рокі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, настає кримінальна відповідальність завбивство з необережності і умисне легке тілесне ушкодження.</w:t>
      </w:r>
    </w:p>
    <w:p w:rsidR="00FE1639" w:rsidRPr="00FE1639" w:rsidRDefault="00FE1639" w:rsidP="00FE1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 xml:space="preserve">Кримінальний кодекс України, враховуючи біологічні,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іальні та психологічніособливості неповнолітніх, по-новому визначає їх кримінальну відповідальністьта покарання.</w:t>
      </w:r>
    </w:p>
    <w:p w:rsidR="00FE1639" w:rsidRPr="00FE1639" w:rsidRDefault="00FE1639" w:rsidP="00FE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lastRenderedPageBreak/>
        <w:t>Це означа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що вперше у вітчизняному КК у спеціальному розділі (розділ XV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Загальної частини) сконцентровані питання щодо: видів покарань, які 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бути застосовані до неповнолітніх злочинців; призначення їм покарання;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звільнення неповнолітніх, які скоїли злочини, від кримінальної відповідальності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та покарання; погашення та зняття судимості.</w:t>
      </w:r>
    </w:p>
    <w:p w:rsidR="00FE1639" w:rsidRPr="00FE1639" w:rsidRDefault="00FE1639" w:rsidP="00FE1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Якщо загалом характеризувати ці положення, то висновок один – порівняно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дорослими, злочинц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неповнолітні мають привілейований кримінально-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E1639">
        <w:rPr>
          <w:rFonts w:ascii="Times New Roman" w:hAnsi="Times New Roman" w:cs="Times New Roman"/>
          <w:sz w:val="28"/>
          <w:szCs w:val="28"/>
        </w:rPr>
        <w:t>равовий статус.</w:t>
      </w:r>
    </w:p>
    <w:p w:rsidR="00FE1639" w:rsidRPr="00FE1639" w:rsidRDefault="00FE1639" w:rsidP="00FE1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По-перше, чинний КК України виділяє окрему систему покарань, які можутьбути застосовані до неповнолітніх, визнаних винними у скоєнні злочину.</w:t>
      </w:r>
    </w:p>
    <w:p w:rsidR="00FE1639" w:rsidRPr="00FE1639" w:rsidRDefault="00FE1639" w:rsidP="00FE1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Відповідно до ст. 98 КК України до неповнолітніх можуть бути застосовані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 xml:space="preserve">лише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п’ять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видів основних покарань (штраф, громадські роботи, виправні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роботи, арешт, позбавлення волі на певний строк), а також два види додаткових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(штраф та позбавлення права обіймати певні посади чи займатися певного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діяльністю).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Водночас їх не можна карати, наприклад, обмеженням волі та довічнимпозбавлення волі.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відміну від дорослих, у них не можна конфісковувати майно.</w:t>
      </w:r>
    </w:p>
    <w:p w:rsidR="00FE1639" w:rsidRPr="00FE1639" w:rsidRDefault="00FE1639" w:rsidP="00C35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По-друге, КК України передбачив особливі розміри покарань неповнолітніх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ак, максимальний розмір штрафу для такої особи може становити п’ятсот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неоподатковуваних мінімумів доходів громадян (для дорослих – тисяча, 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деяких випадках – і більше). Якщо громадські роботи дорослим можуть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 xml:space="preserve">призначені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строк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від шістдесяти до двохсот сорока годин, то неповнолітнім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від тридцяти до ста двадцяти годин. Покарання у вигляді виправних робіт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бути призначено неповнолітньому на строк від двох місяців до одного року, тоді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як дорослому – від шести місяців до двох років. Також зменшено розмі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відрахувань із суми заробітку засудженого-неповнолітнього: він становить 5-10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відсотків (для дорослих 10-20 відсотків). Коротший для неповнолітніх і строк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 xml:space="preserve">арешту, а позбавлення волі їм може бути призначено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строк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не більш як 10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років (і лише за умисне позбавлення життя людини – до 15 років).</w:t>
      </w:r>
    </w:p>
    <w:p w:rsidR="00FE1639" w:rsidRPr="00FE1639" w:rsidRDefault="00FE1639" w:rsidP="00C35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Ще вужче коло покарань, що можуть бути застосовані до неповнолітніх, які не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досягли 16-річного віку. Переважна більшість санкцій єдиним покаранням за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вчинення такими особами злочинів передбачає позбавлення волі на певний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 xml:space="preserve">строк. Лише в ч. 1 ст. 185 КК України (крадіжка, що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карається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штрафом до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 xml:space="preserve">п’ятдесяти неоподатковуваних мінімумів доходів </w:t>
      </w:r>
      <w:r w:rsidRPr="00FE1639">
        <w:rPr>
          <w:rFonts w:ascii="Times New Roman" w:hAnsi="Times New Roman" w:cs="Times New Roman"/>
          <w:sz w:val="28"/>
          <w:szCs w:val="28"/>
        </w:rPr>
        <w:lastRenderedPageBreak/>
        <w:t>громадян або виправними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роботами на строк до двох років, або позбавленням волі на строк до трьох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років), ч. 1 ст. 186 КК України (грабіж, що карається штрафом від п’ятдесяти до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ста неоподатковуваних мінімумів доходів громадян або виправними роботами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на строк до двох років, або позбавленням волі на строк до чотирьох років), ч. 1ст. 277 КК України (пошкодження шляхів сполучення і транспортних засобів,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 xml:space="preserve">що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карається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штрафом до ста неоподатковуваних мінімумів доходів громадян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 xml:space="preserve">або виправними роботами на строк до двох років, або позбавленням волі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строк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до трьох років) альтернативою позбавлення волі є штраф.</w:t>
      </w:r>
    </w:p>
    <w:p w:rsidR="00FE1639" w:rsidRPr="00FE1639" w:rsidRDefault="00FE1639" w:rsidP="00C35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 xml:space="preserve">У ч. 1 ст. 296 КК України (хуліганство, що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карається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штрафом від п’ятисот до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тисячі неоподатковуваних мінімумів доходів громадян або арештом на строк дошести місяців, або обмеженням волі на строк до п’яти років) єдиним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покаранням, що може бути застосовано до таких неповнолітніх, є штраф.</w:t>
      </w:r>
    </w:p>
    <w:p w:rsidR="00FE1639" w:rsidRPr="00FE1639" w:rsidRDefault="00FE1639" w:rsidP="00C35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По-трет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КК України (ст. 97) передбачає можливість звільнення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неповнолітнього, який уперше скоїв злочин невеликої тяжкості, від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кримінальної відповідальності. Але за умови, що виправлення цього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неповнолітнього можливе без застосування покарання. Дійшовши такого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 xml:space="preserve">висновку, суд застосовує до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ідсудного неповнолітнього примусові заходи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виховного характеру.</w:t>
      </w:r>
    </w:p>
    <w:p w:rsidR="007848DB" w:rsidRPr="00FE1639" w:rsidRDefault="00FE1639" w:rsidP="00C35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39">
        <w:rPr>
          <w:rFonts w:ascii="Times New Roman" w:hAnsi="Times New Roman" w:cs="Times New Roman"/>
          <w:sz w:val="28"/>
          <w:szCs w:val="28"/>
        </w:rPr>
        <w:t>По-четверте, виходячи з принципів гуманізму, КК України встановлює для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 xml:space="preserve">неповнолітніх особливу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ідставу для звільнення від покарання. Йдеться про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 xml:space="preserve">ситуацію, коли неповнолітній, який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скоїв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злочин невеликої або середньої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тяжкості, щиро покаявся і в подальшому поводився бездоганно з правової точки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зору. У цьому разі суд, дійшовши на момент встановлення вироку висновку про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недоцільність застосування покарання до такого неповнолітнього, може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звільнити його від покарання і застосувати до нього примусові заходи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виховного характеру (застереження; обмеження дозвілля; передання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 xml:space="preserve">неповнолітнього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ід нагляд батьків, педагогічного чи трудового колективу,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 xml:space="preserve">інших осіб;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покладення на нього обов’язку відшкодувати заподіяну шкоду;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направити неповнолітнього до спеціальної навчально-виховної установи).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Це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особливо треба мати на увазі батькам, щоб не дивувалися потім, що за скоєння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 xml:space="preserve">однакового злочину одне чадо опинилося за гратами, інше –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вол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>і. Зможете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довести суду виховний потенціал своєї сім’ї, колективу, де навчається чадо –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позбавите його “неба у клітинку” і подальшої долі рецидивіста. Зрозуміло, що</w:t>
      </w:r>
      <w:r w:rsidR="00C35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39">
        <w:rPr>
          <w:rFonts w:ascii="Times New Roman" w:hAnsi="Times New Roman" w:cs="Times New Roman"/>
          <w:sz w:val="28"/>
          <w:szCs w:val="28"/>
        </w:rPr>
        <w:t>такого привілею для дорослих злочинці</w:t>
      </w:r>
      <w:proofErr w:type="gramStart"/>
      <w:r w:rsidRPr="00FE16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1639">
        <w:rPr>
          <w:rFonts w:ascii="Times New Roman" w:hAnsi="Times New Roman" w:cs="Times New Roman"/>
          <w:sz w:val="28"/>
          <w:szCs w:val="28"/>
        </w:rPr>
        <w:t xml:space="preserve"> не передбачено.</w:t>
      </w:r>
    </w:p>
    <w:sectPr w:rsidR="007848DB" w:rsidRPr="00FE1639" w:rsidSect="0078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1639"/>
    <w:rsid w:val="007848DB"/>
    <w:rsid w:val="00C35054"/>
    <w:rsid w:val="00FE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2020-07-16T20:10:00Z</dcterms:created>
  <dcterms:modified xsi:type="dcterms:W3CDTF">2020-07-16T20:27:00Z</dcterms:modified>
</cp:coreProperties>
</file>